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1E23" w14:textId="168E7C5D" w:rsidR="000D3039" w:rsidRPr="00D23C87" w:rsidRDefault="000D3039" w:rsidP="000D3039">
      <w:pPr>
        <w:spacing w:after="160" w:line="259" w:lineRule="auto"/>
        <w:rPr>
          <w:rFonts w:ascii="Montserrat" w:hAnsi="Montserrat"/>
          <w:b/>
          <w:bCs/>
        </w:rPr>
      </w:pPr>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462F86">
        <w:rPr>
          <w:rFonts w:ascii="Montserrat" w:hAnsi="Montserrat"/>
          <w:b/>
          <w:bCs/>
        </w:rPr>
        <w:t>1</w:t>
      </w:r>
      <w:r w:rsidRPr="00D23C87">
        <w:rPr>
          <w:rFonts w:ascii="Montserrat" w:hAnsi="Montserrat"/>
          <w:b/>
          <w:bCs/>
        </w:rPr>
        <w:t xml:space="preserve"> DE </w:t>
      </w:r>
      <w:r w:rsidR="00462F86">
        <w:rPr>
          <w:rFonts w:ascii="Montserrat" w:hAnsi="Montserrat"/>
          <w:b/>
          <w:bCs/>
        </w:rPr>
        <w:t>DICIEMBRE</w:t>
      </w:r>
      <w:r w:rsidR="004C4BFD">
        <w:rPr>
          <w:rFonts w:ascii="Montserrat" w:hAnsi="Montserrat"/>
          <w:b/>
          <w:bCs/>
        </w:rPr>
        <w:t xml:space="preserve"> </w:t>
      </w:r>
      <w:r>
        <w:rPr>
          <w:rFonts w:ascii="Montserrat" w:hAnsi="Montserrat"/>
          <w:b/>
          <w:bCs/>
        </w:rPr>
        <w:t>DE</w:t>
      </w:r>
      <w:r w:rsidRPr="00D23C87">
        <w:rPr>
          <w:rFonts w:ascii="Montserrat" w:hAnsi="Montserrat"/>
          <w:b/>
          <w:bCs/>
        </w:rPr>
        <w:t xml:space="preserve"> 202</w:t>
      </w:r>
      <w:r w:rsidR="00572C62">
        <w:rPr>
          <w:rFonts w:ascii="Montserrat" w:hAnsi="Montserrat"/>
          <w:b/>
          <w:bCs/>
        </w:rPr>
        <w:t>4</w:t>
      </w:r>
      <w:r w:rsidRPr="00D23C87">
        <w:rPr>
          <w:rFonts w:ascii="Montserrat" w:hAnsi="Montserrat"/>
          <w:b/>
          <w:bCs/>
        </w:rPr>
        <w:t>.</w:t>
      </w:r>
    </w:p>
    <w:p w14:paraId="0083E528" w14:textId="6CB7A723" w:rsidR="000D3039" w:rsidRPr="00D23C87" w:rsidRDefault="000D3039" w:rsidP="000D3039">
      <w:pPr>
        <w:spacing w:after="160" w:line="259" w:lineRule="auto"/>
        <w:rPr>
          <w:rFonts w:ascii="Montserrat" w:hAnsi="Montserrat"/>
        </w:rPr>
      </w:pPr>
      <w:r w:rsidRPr="00D23C87">
        <w:rPr>
          <w:rFonts w:ascii="Montserrat" w:hAnsi="Montserrat"/>
        </w:rPr>
        <w:t>En cumplimiento a lo dispuesto en los artículos 46 fracción I inciso f, 52 y 53 de la Ley general de Contabilidad Gubernamental, y de conformidad con lo establecido en el capítulo VII, Fracción II, inciso H, del Manu</w:t>
      </w:r>
      <w:r w:rsidR="000457D6">
        <w:rPr>
          <w:rFonts w:ascii="Montserrat" w:hAnsi="Montserrat"/>
        </w:rPr>
        <w:t>a</w:t>
      </w:r>
      <w:r w:rsidRPr="00D23C87">
        <w:rPr>
          <w:rFonts w:ascii="Montserrat" w:hAnsi="Montserrat"/>
        </w:rPr>
        <w:t>l de Contabilidad Gubernamental emitido por el Consejo Nacional de Armonización Contable CONAC, la Secretaría de Finanzas informa lo siguiente:</w:t>
      </w:r>
    </w:p>
    <w:p w14:paraId="155C8CC1" w14:textId="771E9E64" w:rsidR="00462F86" w:rsidRDefault="000D3039" w:rsidP="00B31977">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462F86">
        <w:rPr>
          <w:rFonts w:ascii="Montserrat" w:hAnsi="Montserrat"/>
        </w:rPr>
        <w:t>1</w:t>
      </w:r>
      <w:r w:rsidR="00B31977">
        <w:rPr>
          <w:rFonts w:ascii="Montserrat" w:hAnsi="Montserrat"/>
        </w:rPr>
        <w:t xml:space="preserve"> de </w:t>
      </w:r>
      <w:r w:rsidR="00462F86">
        <w:rPr>
          <w:rFonts w:ascii="Montserrat" w:hAnsi="Montserrat"/>
        </w:rPr>
        <w:t>diciembre</w:t>
      </w:r>
      <w:r w:rsidR="007B3D52">
        <w:rPr>
          <w:rFonts w:ascii="Montserrat" w:hAnsi="Montserrat"/>
        </w:rPr>
        <w:t xml:space="preserve"> </w:t>
      </w:r>
      <w:r w:rsidR="00B31977">
        <w:rPr>
          <w:rFonts w:ascii="Montserrat" w:hAnsi="Montserrat"/>
        </w:rPr>
        <w:t xml:space="preserve">de </w:t>
      </w:r>
      <w:r w:rsidRPr="00964132">
        <w:rPr>
          <w:rFonts w:ascii="Montserrat" w:hAnsi="Montserrat"/>
        </w:rPr>
        <w:t>202</w:t>
      </w:r>
      <w:r w:rsidR="00572C62">
        <w:rPr>
          <w:rFonts w:ascii="Montserrat" w:hAnsi="Montserrat"/>
        </w:rPr>
        <w:t>4</w:t>
      </w:r>
      <w:r w:rsidRPr="00964132">
        <w:rPr>
          <w:rFonts w:ascii="Montserrat" w:hAnsi="Montserrat"/>
        </w:rPr>
        <w:t xml:space="preserve"> la Secretaría de Finanzas tiene a su cargo </w:t>
      </w:r>
      <w:r w:rsidR="0046433C">
        <w:rPr>
          <w:rFonts w:ascii="Montserrat" w:hAnsi="Montserrat"/>
        </w:rPr>
        <w:t>7</w:t>
      </w:r>
      <w:r w:rsidR="00462F86">
        <w:rPr>
          <w:rFonts w:ascii="Montserrat" w:hAnsi="Montserrat"/>
        </w:rPr>
        <w:t>1</w:t>
      </w:r>
      <w:r w:rsidRPr="00964132">
        <w:rPr>
          <w:rFonts w:ascii="Montserrat" w:hAnsi="Montserrat"/>
        </w:rPr>
        <w:t xml:space="preserve"> juicios de </w:t>
      </w:r>
      <w:r w:rsidR="007B3D52">
        <w:rPr>
          <w:rFonts w:ascii="Montserrat" w:hAnsi="Montserrat"/>
        </w:rPr>
        <w:t>8</w:t>
      </w:r>
      <w:r w:rsidRPr="00964132">
        <w:rPr>
          <w:rFonts w:ascii="Montserrat" w:hAnsi="Montserrat"/>
        </w:rPr>
        <w:t xml:space="preserve"> diferentes tipos, y la Consejería Jurídica </w:t>
      </w:r>
      <w:r w:rsidR="004C4BFD" w:rsidRPr="000457D6">
        <w:rPr>
          <w:rFonts w:ascii="Montserrat" w:hAnsi="Montserrat"/>
        </w:rPr>
        <w:t>8</w:t>
      </w:r>
      <w:r w:rsidR="000457D6" w:rsidRPr="000457D6">
        <w:rPr>
          <w:rFonts w:ascii="Montserrat" w:hAnsi="Montserrat"/>
        </w:rPr>
        <w:t>3</w:t>
      </w:r>
      <w:r w:rsidRPr="000457D6">
        <w:rPr>
          <w:rFonts w:ascii="Montserrat" w:hAnsi="Montserrat"/>
        </w:rPr>
        <w:t xml:space="preserve"> juicios de </w:t>
      </w:r>
      <w:r w:rsidR="000457D6" w:rsidRPr="000457D6">
        <w:rPr>
          <w:rFonts w:ascii="Montserrat" w:hAnsi="Montserrat"/>
        </w:rPr>
        <w:t>18</w:t>
      </w:r>
      <w:r w:rsidRPr="000457D6">
        <w:rPr>
          <w:rFonts w:ascii="Montserrat" w:hAnsi="Montserrat"/>
        </w:rPr>
        <w:t xml:space="preserve"> diferentes entidades del Poder </w:t>
      </w:r>
      <w:r w:rsidR="008B1572" w:rsidRPr="000457D6">
        <w:rPr>
          <w:rFonts w:ascii="Montserrat" w:hAnsi="Montserrat"/>
        </w:rPr>
        <w:t>E</w:t>
      </w:r>
      <w:r w:rsidRPr="000457D6">
        <w:rPr>
          <w:rFonts w:ascii="Montserrat" w:hAnsi="Montserrat"/>
        </w:rPr>
        <w:t>jecutivo, de acuerdo a los</w:t>
      </w:r>
      <w:r w:rsidRPr="00964132">
        <w:rPr>
          <w:rFonts w:ascii="Montserrat" w:hAnsi="Montserrat"/>
        </w:rPr>
        <w:t xml:space="preserve"> siguientes cuadros:</w:t>
      </w:r>
    </w:p>
    <w:p w14:paraId="5B1A076E" w14:textId="1A9071ED" w:rsidR="000D3039" w:rsidRPr="00D23C87" w:rsidRDefault="000D3039" w:rsidP="00B31977">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p>
    <w:p w14:paraId="109BFB1A" w14:textId="7EB55F13" w:rsidR="000D3039" w:rsidRPr="00D23C87" w:rsidRDefault="000D3039" w:rsidP="000D3039">
      <w:pPr>
        <w:spacing w:after="160" w:line="259" w:lineRule="auto"/>
        <w:jc w:val="center"/>
        <w:rPr>
          <w:rFonts w:ascii="Montserrat" w:hAnsi="Montserrat"/>
          <w:b/>
          <w:bCs/>
        </w:rPr>
      </w:pPr>
      <w:r>
        <w:rPr>
          <w:rFonts w:ascii="Montserrat" w:hAnsi="Montserrat"/>
          <w:b/>
          <w:bCs/>
        </w:rPr>
        <w:t>AL 3</w:t>
      </w:r>
      <w:r w:rsidR="00462F86">
        <w:rPr>
          <w:rFonts w:ascii="Montserrat" w:hAnsi="Montserrat"/>
          <w:b/>
          <w:bCs/>
        </w:rPr>
        <w:t>1</w:t>
      </w:r>
      <w:r w:rsidRPr="00D23C87">
        <w:rPr>
          <w:rFonts w:ascii="Montserrat" w:hAnsi="Montserrat"/>
          <w:b/>
          <w:bCs/>
        </w:rPr>
        <w:t xml:space="preserve"> DE </w:t>
      </w:r>
      <w:r w:rsidR="00462F86">
        <w:rPr>
          <w:rFonts w:ascii="Montserrat" w:hAnsi="Montserrat"/>
          <w:b/>
          <w:bCs/>
        </w:rPr>
        <w:t>DICIEMBRE</w:t>
      </w:r>
      <w:r w:rsidRPr="00D23C87">
        <w:rPr>
          <w:rFonts w:ascii="Montserrat" w:hAnsi="Montserrat"/>
          <w:b/>
          <w:bCs/>
        </w:rPr>
        <w:t xml:space="preserve"> DE 202</w:t>
      </w:r>
      <w:r w:rsidR="00572C62">
        <w:rPr>
          <w:rFonts w:ascii="Montserrat" w:hAnsi="Montserrat"/>
          <w:b/>
          <w:bCs/>
        </w:rPr>
        <w:t>4</w:t>
      </w:r>
    </w:p>
    <w:p w14:paraId="4AFCDCC0" w14:textId="77777777" w:rsidR="000D3039" w:rsidRDefault="000D3039" w:rsidP="000D3039">
      <w:pPr>
        <w:spacing w:after="160" w:line="259" w:lineRule="auto"/>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AE4277">
        <w:trPr>
          <w:trHeight w:val="646"/>
          <w:tblHeader/>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AE4277">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462F86" w:rsidRPr="004C3635" w14:paraId="6685CA1F" w14:textId="77777777" w:rsidTr="00462F86">
        <w:trPr>
          <w:trHeight w:val="300"/>
        </w:trPr>
        <w:tc>
          <w:tcPr>
            <w:tcW w:w="719" w:type="dxa"/>
            <w:vAlign w:val="center"/>
          </w:tcPr>
          <w:p w14:paraId="7716F93A"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462F86" w:rsidRPr="004C3635" w:rsidRDefault="00462F86" w:rsidP="00462F86">
            <w:pPr>
              <w:jc w:val="left"/>
              <w:rPr>
                <w:rFonts w:ascii="Montserrat" w:hAnsi="Montserrat"/>
                <w:sz w:val="22"/>
                <w:szCs w:val="22"/>
              </w:rPr>
            </w:pPr>
            <w:r w:rsidRPr="004C3635">
              <w:rPr>
                <w:rFonts w:ascii="Montserrat" w:hAnsi="Montserrat"/>
                <w:sz w:val="22"/>
                <w:szCs w:val="22"/>
              </w:rPr>
              <w:t>Juicios Laborales</w:t>
            </w:r>
            <w:r>
              <w:rPr>
                <w:rFonts w:ascii="Montserrat" w:hAnsi="Montserrat"/>
                <w:sz w:val="22"/>
                <w:szCs w:val="22"/>
              </w:rPr>
              <w:t xml:space="preserve"> </w:t>
            </w:r>
            <w:r>
              <w:rPr>
                <w:rFonts w:ascii="Montserrat" w:hAnsi="Montserrat"/>
                <w:sz w:val="22"/>
                <w:szCs w:val="22"/>
                <w:vertAlign w:val="superscript"/>
              </w:rPr>
              <w:t>/1</w:t>
            </w:r>
          </w:p>
        </w:tc>
        <w:tc>
          <w:tcPr>
            <w:tcW w:w="1873" w:type="dxa"/>
            <w:shd w:val="clear" w:color="auto" w:fill="auto"/>
            <w:noWrap/>
            <w:vAlign w:val="center"/>
            <w:hideMark/>
          </w:tcPr>
          <w:p w14:paraId="69A12BCA" w14:textId="314EA4BF" w:rsidR="00462F86" w:rsidRPr="004C3635" w:rsidRDefault="00462F86" w:rsidP="00462F86">
            <w:pPr>
              <w:jc w:val="center"/>
              <w:rPr>
                <w:rFonts w:ascii="Montserrat" w:hAnsi="Montserrat"/>
                <w:sz w:val="22"/>
                <w:szCs w:val="22"/>
              </w:rPr>
            </w:pPr>
            <w:r w:rsidRPr="003E6A3B">
              <w:t>36</w:t>
            </w:r>
          </w:p>
        </w:tc>
        <w:tc>
          <w:tcPr>
            <w:tcW w:w="2278" w:type="dxa"/>
            <w:shd w:val="clear" w:color="auto" w:fill="auto"/>
            <w:noWrap/>
            <w:hideMark/>
          </w:tcPr>
          <w:p w14:paraId="6719DED0" w14:textId="1CE719F1" w:rsidR="00462F86" w:rsidRPr="004C3635" w:rsidRDefault="00462F86" w:rsidP="00462F86">
            <w:pPr>
              <w:jc w:val="right"/>
              <w:rPr>
                <w:rFonts w:ascii="Montserrat" w:hAnsi="Montserrat"/>
                <w:sz w:val="22"/>
                <w:szCs w:val="22"/>
              </w:rPr>
            </w:pPr>
            <w:r w:rsidRPr="003E6A3B">
              <w:t>3,317,831.36</w:t>
            </w:r>
          </w:p>
        </w:tc>
      </w:tr>
      <w:tr w:rsidR="00462F86" w:rsidRPr="004C3635" w14:paraId="0BC46F01" w14:textId="77777777" w:rsidTr="00462F86">
        <w:trPr>
          <w:trHeight w:val="205"/>
        </w:trPr>
        <w:tc>
          <w:tcPr>
            <w:tcW w:w="719" w:type="dxa"/>
            <w:vAlign w:val="center"/>
          </w:tcPr>
          <w:p w14:paraId="35A7EB11"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462F86" w:rsidRPr="004C3635" w:rsidRDefault="00462F86" w:rsidP="00462F86">
            <w:pPr>
              <w:jc w:val="left"/>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vAlign w:val="center"/>
            <w:hideMark/>
          </w:tcPr>
          <w:p w14:paraId="26CF7FBF" w14:textId="129299E7" w:rsidR="00462F86" w:rsidRPr="004C3635" w:rsidRDefault="00462F86" w:rsidP="00462F86">
            <w:pPr>
              <w:jc w:val="center"/>
              <w:rPr>
                <w:rFonts w:ascii="Montserrat" w:hAnsi="Montserrat"/>
                <w:sz w:val="22"/>
                <w:szCs w:val="22"/>
              </w:rPr>
            </w:pPr>
            <w:r w:rsidRPr="003E6A3B">
              <w:t>10</w:t>
            </w:r>
          </w:p>
        </w:tc>
        <w:tc>
          <w:tcPr>
            <w:tcW w:w="2278" w:type="dxa"/>
            <w:shd w:val="clear" w:color="auto" w:fill="auto"/>
            <w:noWrap/>
            <w:hideMark/>
          </w:tcPr>
          <w:p w14:paraId="01649C14" w14:textId="68DAE3ED" w:rsidR="00462F86" w:rsidRPr="004C3635" w:rsidRDefault="00462F86" w:rsidP="00462F86">
            <w:pPr>
              <w:jc w:val="right"/>
              <w:rPr>
                <w:rFonts w:ascii="Montserrat" w:hAnsi="Montserrat"/>
                <w:sz w:val="22"/>
                <w:szCs w:val="22"/>
              </w:rPr>
            </w:pPr>
            <w:r w:rsidRPr="003E6A3B">
              <w:t>55,140,794.69</w:t>
            </w:r>
          </w:p>
        </w:tc>
      </w:tr>
      <w:tr w:rsidR="00462F86" w:rsidRPr="004C3635" w14:paraId="33D45088" w14:textId="77777777" w:rsidTr="00462F86">
        <w:trPr>
          <w:trHeight w:val="300"/>
        </w:trPr>
        <w:tc>
          <w:tcPr>
            <w:tcW w:w="719" w:type="dxa"/>
            <w:vAlign w:val="center"/>
          </w:tcPr>
          <w:p w14:paraId="09E334A3"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462F86" w:rsidRPr="004C3635" w:rsidRDefault="00462F86" w:rsidP="00462F86">
            <w:pPr>
              <w:jc w:val="left"/>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vAlign w:val="center"/>
            <w:hideMark/>
          </w:tcPr>
          <w:p w14:paraId="470ABD76" w14:textId="4041B0A0" w:rsidR="00462F86" w:rsidRPr="004C3635" w:rsidRDefault="00462F86" w:rsidP="00462F86">
            <w:pPr>
              <w:jc w:val="center"/>
              <w:rPr>
                <w:rFonts w:ascii="Montserrat" w:hAnsi="Montserrat"/>
                <w:sz w:val="22"/>
                <w:szCs w:val="22"/>
              </w:rPr>
            </w:pPr>
            <w:r w:rsidRPr="003E6A3B">
              <w:t>5</w:t>
            </w:r>
          </w:p>
        </w:tc>
        <w:tc>
          <w:tcPr>
            <w:tcW w:w="2278" w:type="dxa"/>
            <w:shd w:val="clear" w:color="auto" w:fill="auto"/>
            <w:noWrap/>
            <w:hideMark/>
          </w:tcPr>
          <w:p w14:paraId="02132738" w14:textId="310E906A"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1A907597" w14:textId="77777777" w:rsidTr="00462F86">
        <w:trPr>
          <w:trHeight w:val="300"/>
        </w:trPr>
        <w:tc>
          <w:tcPr>
            <w:tcW w:w="719" w:type="dxa"/>
            <w:vAlign w:val="center"/>
          </w:tcPr>
          <w:p w14:paraId="73224C4B"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lastRenderedPageBreak/>
              <w:t>4</w:t>
            </w:r>
          </w:p>
        </w:tc>
        <w:tc>
          <w:tcPr>
            <w:tcW w:w="3973" w:type="dxa"/>
            <w:shd w:val="clear" w:color="auto" w:fill="auto"/>
            <w:noWrap/>
            <w:hideMark/>
          </w:tcPr>
          <w:p w14:paraId="05D5D6C1" w14:textId="0181FF72" w:rsidR="00462F86" w:rsidRPr="004C3635" w:rsidRDefault="00462F86" w:rsidP="00462F86">
            <w:pPr>
              <w:rPr>
                <w:rFonts w:ascii="Montserrat" w:hAnsi="Montserrat"/>
                <w:sz w:val="22"/>
                <w:szCs w:val="22"/>
              </w:rPr>
            </w:pPr>
            <w:r w:rsidRPr="007B3D52">
              <w:rPr>
                <w:rFonts w:ascii="Montserrat" w:hAnsi="Montserrat"/>
                <w:sz w:val="22"/>
                <w:szCs w:val="22"/>
              </w:rPr>
              <w:t xml:space="preserve">Cumplimientos de Juicios de Amparo </w:t>
            </w:r>
          </w:p>
        </w:tc>
        <w:tc>
          <w:tcPr>
            <w:tcW w:w="1873" w:type="dxa"/>
            <w:shd w:val="clear" w:color="auto" w:fill="auto"/>
            <w:noWrap/>
            <w:vAlign w:val="center"/>
            <w:hideMark/>
          </w:tcPr>
          <w:p w14:paraId="779C672D" w14:textId="69465123" w:rsidR="00462F86" w:rsidRPr="004C3635" w:rsidRDefault="00462F86" w:rsidP="00462F86">
            <w:pPr>
              <w:jc w:val="center"/>
              <w:rPr>
                <w:rFonts w:ascii="Montserrat" w:hAnsi="Montserrat"/>
                <w:sz w:val="22"/>
                <w:szCs w:val="22"/>
              </w:rPr>
            </w:pPr>
            <w:r w:rsidRPr="003E6A3B">
              <w:t>14</w:t>
            </w:r>
          </w:p>
        </w:tc>
        <w:tc>
          <w:tcPr>
            <w:tcW w:w="2278" w:type="dxa"/>
            <w:shd w:val="clear" w:color="auto" w:fill="auto"/>
            <w:noWrap/>
            <w:hideMark/>
          </w:tcPr>
          <w:p w14:paraId="462F2AF9" w14:textId="2407AA93"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7DC86FC2" w14:textId="77777777" w:rsidTr="00462F86">
        <w:trPr>
          <w:trHeight w:val="275"/>
        </w:trPr>
        <w:tc>
          <w:tcPr>
            <w:tcW w:w="719" w:type="dxa"/>
            <w:vAlign w:val="center"/>
          </w:tcPr>
          <w:p w14:paraId="32FBE13F"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5</w:t>
            </w:r>
          </w:p>
        </w:tc>
        <w:tc>
          <w:tcPr>
            <w:tcW w:w="3973" w:type="dxa"/>
            <w:shd w:val="clear" w:color="auto" w:fill="auto"/>
            <w:noWrap/>
            <w:hideMark/>
          </w:tcPr>
          <w:p w14:paraId="03FCFAFE" w14:textId="615B5D44" w:rsidR="00462F86" w:rsidRPr="004C3635" w:rsidRDefault="00462F86" w:rsidP="00462F86">
            <w:pPr>
              <w:rPr>
                <w:rFonts w:ascii="Montserrat" w:hAnsi="Montserrat"/>
                <w:sz w:val="22"/>
                <w:szCs w:val="22"/>
              </w:rPr>
            </w:pPr>
            <w:r w:rsidRPr="007B3D52">
              <w:rPr>
                <w:rFonts w:ascii="Montserrat" w:hAnsi="Montserrat"/>
                <w:sz w:val="22"/>
                <w:szCs w:val="22"/>
              </w:rPr>
              <w:t xml:space="preserve">Cumplimientos Juicios Electorales  </w:t>
            </w:r>
          </w:p>
        </w:tc>
        <w:tc>
          <w:tcPr>
            <w:tcW w:w="1873" w:type="dxa"/>
            <w:shd w:val="clear" w:color="auto" w:fill="auto"/>
            <w:noWrap/>
            <w:vAlign w:val="center"/>
            <w:hideMark/>
          </w:tcPr>
          <w:p w14:paraId="1B35923B" w14:textId="6AC8890D" w:rsidR="00462F86" w:rsidRPr="004C3635" w:rsidRDefault="00462F86" w:rsidP="00462F86">
            <w:pPr>
              <w:jc w:val="center"/>
              <w:rPr>
                <w:rFonts w:ascii="Montserrat" w:hAnsi="Montserrat"/>
                <w:sz w:val="22"/>
                <w:szCs w:val="22"/>
              </w:rPr>
            </w:pPr>
            <w:r w:rsidRPr="003E6A3B">
              <w:t>3</w:t>
            </w:r>
          </w:p>
        </w:tc>
        <w:tc>
          <w:tcPr>
            <w:tcW w:w="2278" w:type="dxa"/>
            <w:shd w:val="clear" w:color="auto" w:fill="auto"/>
            <w:noWrap/>
            <w:hideMark/>
          </w:tcPr>
          <w:p w14:paraId="71379E7F" w14:textId="3E34E98B"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0738F5B8" w14:textId="77777777" w:rsidTr="00462F86">
        <w:trPr>
          <w:trHeight w:val="291"/>
        </w:trPr>
        <w:tc>
          <w:tcPr>
            <w:tcW w:w="719" w:type="dxa"/>
            <w:tcBorders>
              <w:bottom w:val="single" w:sz="4" w:space="0" w:color="auto"/>
            </w:tcBorders>
            <w:vAlign w:val="center"/>
          </w:tcPr>
          <w:p w14:paraId="0D746EF9" w14:textId="77777777" w:rsidR="00462F86" w:rsidRPr="004C3635" w:rsidRDefault="00462F86" w:rsidP="00462F86">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tcPr>
          <w:p w14:paraId="46D205EC" w14:textId="45D9A943" w:rsidR="00462F86" w:rsidRPr="004C3635" w:rsidRDefault="00462F86" w:rsidP="00462F86">
            <w:pPr>
              <w:rPr>
                <w:rFonts w:ascii="Montserrat" w:hAnsi="Montserrat"/>
                <w:sz w:val="22"/>
                <w:szCs w:val="22"/>
              </w:rPr>
            </w:pPr>
            <w:r w:rsidRPr="007B3D52">
              <w:rPr>
                <w:rFonts w:ascii="Montserrat" w:hAnsi="Montserrat"/>
                <w:sz w:val="22"/>
                <w:szCs w:val="22"/>
              </w:rPr>
              <w:t xml:space="preserve">Juicios de Amparo </w:t>
            </w:r>
          </w:p>
        </w:tc>
        <w:tc>
          <w:tcPr>
            <w:tcW w:w="1873" w:type="dxa"/>
            <w:tcBorders>
              <w:bottom w:val="single" w:sz="4" w:space="0" w:color="auto"/>
            </w:tcBorders>
            <w:shd w:val="clear" w:color="auto" w:fill="auto"/>
            <w:noWrap/>
            <w:vAlign w:val="center"/>
          </w:tcPr>
          <w:p w14:paraId="023A02CF" w14:textId="35917237" w:rsidR="00462F86" w:rsidRPr="004C3635" w:rsidRDefault="00462F86" w:rsidP="00462F86">
            <w:pPr>
              <w:jc w:val="center"/>
              <w:rPr>
                <w:rFonts w:ascii="Montserrat" w:hAnsi="Montserrat"/>
                <w:sz w:val="22"/>
                <w:szCs w:val="22"/>
              </w:rPr>
            </w:pPr>
            <w:r w:rsidRPr="003E6A3B">
              <w:t>1</w:t>
            </w:r>
          </w:p>
        </w:tc>
        <w:tc>
          <w:tcPr>
            <w:tcW w:w="2278" w:type="dxa"/>
            <w:tcBorders>
              <w:bottom w:val="single" w:sz="4" w:space="0" w:color="auto"/>
            </w:tcBorders>
            <w:shd w:val="clear" w:color="auto" w:fill="auto"/>
            <w:noWrap/>
          </w:tcPr>
          <w:p w14:paraId="068A6B09" w14:textId="11378B7E" w:rsidR="00462F86" w:rsidRPr="004C3635" w:rsidRDefault="00462F86" w:rsidP="00462F86">
            <w:pPr>
              <w:jc w:val="right"/>
              <w:rPr>
                <w:rFonts w:ascii="Montserrat" w:hAnsi="Montserrat"/>
                <w:sz w:val="22"/>
                <w:szCs w:val="22"/>
              </w:rPr>
            </w:pPr>
            <w:r w:rsidRPr="003E6A3B">
              <w:t xml:space="preserve"> INDETERMINADO </w:t>
            </w:r>
          </w:p>
        </w:tc>
      </w:tr>
      <w:tr w:rsidR="00462F86" w:rsidRPr="004C3635" w14:paraId="283DF251" w14:textId="77777777" w:rsidTr="00397660">
        <w:trPr>
          <w:trHeight w:val="291"/>
        </w:trPr>
        <w:tc>
          <w:tcPr>
            <w:tcW w:w="719" w:type="dxa"/>
            <w:tcBorders>
              <w:bottom w:val="single" w:sz="4" w:space="0" w:color="auto"/>
            </w:tcBorders>
            <w:vAlign w:val="center"/>
          </w:tcPr>
          <w:p w14:paraId="23920FA3" w14:textId="180B6DEC" w:rsidR="00462F86" w:rsidRPr="004C3635" w:rsidRDefault="00462F86" w:rsidP="00462F86">
            <w:pPr>
              <w:jc w:val="center"/>
              <w:rPr>
                <w:rFonts w:ascii="Montserrat" w:hAnsi="Montserrat"/>
                <w:sz w:val="22"/>
                <w:szCs w:val="22"/>
              </w:rPr>
            </w:pPr>
            <w:r>
              <w:rPr>
                <w:rFonts w:ascii="Montserrat" w:hAnsi="Montserrat"/>
                <w:sz w:val="22"/>
                <w:szCs w:val="22"/>
              </w:rPr>
              <w:t>7</w:t>
            </w:r>
          </w:p>
        </w:tc>
        <w:tc>
          <w:tcPr>
            <w:tcW w:w="3973" w:type="dxa"/>
            <w:tcBorders>
              <w:bottom w:val="single" w:sz="4" w:space="0" w:color="auto"/>
            </w:tcBorders>
            <w:shd w:val="clear" w:color="auto" w:fill="auto"/>
            <w:noWrap/>
          </w:tcPr>
          <w:p w14:paraId="356EB5C9" w14:textId="6FD4DB8C" w:rsidR="00462F86" w:rsidRPr="004C3635" w:rsidRDefault="00462F86" w:rsidP="00462F86">
            <w:pPr>
              <w:rPr>
                <w:rFonts w:ascii="Montserrat" w:hAnsi="Montserrat"/>
                <w:sz w:val="22"/>
                <w:szCs w:val="22"/>
              </w:rPr>
            </w:pPr>
            <w:r w:rsidRPr="007B3D52">
              <w:rPr>
                <w:rFonts w:ascii="Montserrat" w:hAnsi="Montserrat"/>
                <w:sz w:val="22"/>
                <w:szCs w:val="22"/>
              </w:rPr>
              <w:t>Juicio Contencioso Administrativo Estatal</w:t>
            </w:r>
            <w:r>
              <w:rPr>
                <w:rFonts w:ascii="Montserrat" w:hAnsi="Montserrat"/>
                <w:sz w:val="22"/>
                <w:szCs w:val="22"/>
              </w:rPr>
              <w:t xml:space="preserve"> </w:t>
            </w:r>
            <w:r w:rsidRPr="007B3D52">
              <w:rPr>
                <w:rFonts w:ascii="Montserrat" w:hAnsi="Montserrat"/>
                <w:sz w:val="22"/>
                <w:szCs w:val="22"/>
                <w:vertAlign w:val="superscript"/>
              </w:rPr>
              <w:t>/2</w:t>
            </w:r>
          </w:p>
        </w:tc>
        <w:tc>
          <w:tcPr>
            <w:tcW w:w="1873" w:type="dxa"/>
            <w:tcBorders>
              <w:bottom w:val="single" w:sz="4" w:space="0" w:color="auto"/>
            </w:tcBorders>
            <w:shd w:val="clear" w:color="auto" w:fill="auto"/>
            <w:noWrap/>
            <w:vAlign w:val="center"/>
          </w:tcPr>
          <w:p w14:paraId="7340A420" w14:textId="5F75DD9A" w:rsidR="00462F86" w:rsidRPr="004C3635" w:rsidRDefault="00462F86" w:rsidP="00462F86">
            <w:pPr>
              <w:jc w:val="center"/>
              <w:rPr>
                <w:rFonts w:ascii="Montserrat" w:hAnsi="Montserrat"/>
                <w:sz w:val="22"/>
                <w:szCs w:val="22"/>
              </w:rPr>
            </w:pPr>
            <w:r w:rsidRPr="003E6A3B">
              <w:t>1</w:t>
            </w:r>
          </w:p>
        </w:tc>
        <w:tc>
          <w:tcPr>
            <w:tcW w:w="2278" w:type="dxa"/>
            <w:tcBorders>
              <w:bottom w:val="single" w:sz="4" w:space="0" w:color="auto"/>
            </w:tcBorders>
            <w:shd w:val="clear" w:color="auto" w:fill="auto"/>
            <w:noWrap/>
            <w:vAlign w:val="center"/>
          </w:tcPr>
          <w:p w14:paraId="11E5641A" w14:textId="6582BC2D" w:rsidR="00462F86" w:rsidRPr="00145CBB" w:rsidRDefault="00462F86" w:rsidP="00397660">
            <w:pPr>
              <w:jc w:val="right"/>
              <w:rPr>
                <w:rFonts w:ascii="Montserrat" w:hAnsi="Montserrat"/>
                <w:sz w:val="22"/>
                <w:szCs w:val="22"/>
              </w:rPr>
            </w:pPr>
            <w:r w:rsidRPr="003E6A3B">
              <w:t>92,961,588.00</w:t>
            </w:r>
          </w:p>
        </w:tc>
      </w:tr>
      <w:tr w:rsidR="00462F86" w:rsidRPr="004C3635" w14:paraId="51FB13DA" w14:textId="77777777" w:rsidTr="00397660">
        <w:trPr>
          <w:trHeight w:val="291"/>
        </w:trPr>
        <w:tc>
          <w:tcPr>
            <w:tcW w:w="719" w:type="dxa"/>
            <w:tcBorders>
              <w:bottom w:val="single" w:sz="4" w:space="0" w:color="auto"/>
            </w:tcBorders>
            <w:vAlign w:val="center"/>
          </w:tcPr>
          <w:p w14:paraId="2F3735DA" w14:textId="1C5B38F6" w:rsidR="00462F86" w:rsidRPr="004C3635" w:rsidRDefault="00462F86" w:rsidP="00462F86">
            <w:pPr>
              <w:jc w:val="center"/>
              <w:rPr>
                <w:rFonts w:ascii="Montserrat" w:hAnsi="Montserrat"/>
                <w:sz w:val="22"/>
                <w:szCs w:val="22"/>
              </w:rPr>
            </w:pPr>
            <w:r>
              <w:rPr>
                <w:rFonts w:ascii="Montserrat" w:hAnsi="Montserrat"/>
                <w:sz w:val="22"/>
                <w:szCs w:val="22"/>
              </w:rPr>
              <w:t>8</w:t>
            </w:r>
          </w:p>
        </w:tc>
        <w:tc>
          <w:tcPr>
            <w:tcW w:w="3973" w:type="dxa"/>
            <w:tcBorders>
              <w:bottom w:val="single" w:sz="4" w:space="0" w:color="auto"/>
            </w:tcBorders>
            <w:shd w:val="clear" w:color="auto" w:fill="auto"/>
            <w:noWrap/>
          </w:tcPr>
          <w:p w14:paraId="7419C89B" w14:textId="7EDB5265" w:rsidR="00462F86" w:rsidRPr="004C3635" w:rsidRDefault="00462F86" w:rsidP="00462F86">
            <w:pPr>
              <w:rPr>
                <w:rFonts w:ascii="Montserrat" w:hAnsi="Montserrat"/>
                <w:sz w:val="22"/>
                <w:szCs w:val="22"/>
              </w:rPr>
            </w:pPr>
            <w:r w:rsidRPr="007B3D52">
              <w:rPr>
                <w:rFonts w:ascii="Montserrat" w:hAnsi="Montserrat"/>
                <w:sz w:val="22"/>
                <w:szCs w:val="22"/>
              </w:rPr>
              <w:t>Juicios de Amparo Indirecto</w:t>
            </w:r>
          </w:p>
        </w:tc>
        <w:tc>
          <w:tcPr>
            <w:tcW w:w="1873" w:type="dxa"/>
            <w:tcBorders>
              <w:bottom w:val="single" w:sz="4" w:space="0" w:color="auto"/>
            </w:tcBorders>
            <w:shd w:val="clear" w:color="auto" w:fill="auto"/>
            <w:noWrap/>
            <w:vAlign w:val="center"/>
          </w:tcPr>
          <w:p w14:paraId="1C31E882" w14:textId="6788FD52" w:rsidR="00462F86" w:rsidRPr="004C3635" w:rsidRDefault="00462F86" w:rsidP="00462F86">
            <w:pPr>
              <w:jc w:val="center"/>
              <w:rPr>
                <w:rFonts w:ascii="Montserrat" w:hAnsi="Montserrat"/>
                <w:sz w:val="22"/>
                <w:szCs w:val="22"/>
              </w:rPr>
            </w:pPr>
            <w:r w:rsidRPr="003E6A3B">
              <w:t>1</w:t>
            </w:r>
          </w:p>
        </w:tc>
        <w:tc>
          <w:tcPr>
            <w:tcW w:w="2278" w:type="dxa"/>
            <w:tcBorders>
              <w:bottom w:val="single" w:sz="4" w:space="0" w:color="auto"/>
            </w:tcBorders>
            <w:shd w:val="clear" w:color="auto" w:fill="auto"/>
            <w:noWrap/>
            <w:vAlign w:val="center"/>
          </w:tcPr>
          <w:p w14:paraId="41B182FE" w14:textId="637A0A7A" w:rsidR="00462F86" w:rsidRPr="004C3635" w:rsidRDefault="00462F86" w:rsidP="00397660">
            <w:pPr>
              <w:jc w:val="right"/>
              <w:rPr>
                <w:rFonts w:ascii="Montserrat" w:hAnsi="Montserrat"/>
                <w:sz w:val="22"/>
                <w:szCs w:val="22"/>
              </w:rPr>
            </w:pPr>
            <w:r w:rsidRPr="003E6A3B">
              <w:t>16,509,120.00</w:t>
            </w:r>
          </w:p>
        </w:tc>
      </w:tr>
      <w:tr w:rsidR="00462F86" w:rsidRPr="004C3635" w14:paraId="626AB536" w14:textId="77777777" w:rsidTr="00462F86">
        <w:trPr>
          <w:trHeight w:val="656"/>
        </w:trPr>
        <w:tc>
          <w:tcPr>
            <w:tcW w:w="719" w:type="dxa"/>
            <w:tcBorders>
              <w:bottom w:val="single" w:sz="4" w:space="0" w:color="auto"/>
            </w:tcBorders>
            <w:shd w:val="clear" w:color="auto" w:fill="A6A6A6" w:themeFill="background1" w:themeFillShade="A6"/>
          </w:tcPr>
          <w:p w14:paraId="4530FD4D" w14:textId="77777777" w:rsidR="00462F86" w:rsidRPr="004C3635" w:rsidRDefault="00462F86" w:rsidP="00462F86">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462F86" w:rsidRPr="004C3635" w:rsidRDefault="00462F86" w:rsidP="00462F86">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05DF2E9A" w:rsidR="00462F86" w:rsidRPr="00462F86" w:rsidRDefault="00462F86" w:rsidP="00462F86">
            <w:pPr>
              <w:jc w:val="center"/>
              <w:rPr>
                <w:rFonts w:ascii="Montserrat" w:hAnsi="Montserrat" w:cs="Calibri"/>
                <w:b/>
                <w:bCs/>
                <w:color w:val="000000"/>
                <w:sz w:val="22"/>
                <w:szCs w:val="22"/>
              </w:rPr>
            </w:pPr>
            <w:r w:rsidRPr="00462F86">
              <w:rPr>
                <w:b/>
                <w:bCs/>
              </w:rPr>
              <w:t>71</w:t>
            </w:r>
          </w:p>
        </w:tc>
        <w:tc>
          <w:tcPr>
            <w:tcW w:w="2278" w:type="dxa"/>
            <w:tcBorders>
              <w:bottom w:val="single" w:sz="4" w:space="0" w:color="auto"/>
            </w:tcBorders>
            <w:shd w:val="clear" w:color="auto" w:fill="A6A6A6" w:themeFill="background1" w:themeFillShade="A6"/>
            <w:noWrap/>
            <w:vAlign w:val="center"/>
            <w:hideMark/>
          </w:tcPr>
          <w:p w14:paraId="13208A6A" w14:textId="7A1F46AB" w:rsidR="00462F86" w:rsidRPr="00462F86" w:rsidRDefault="00462F86" w:rsidP="00462F86">
            <w:pPr>
              <w:jc w:val="right"/>
              <w:rPr>
                <w:rFonts w:ascii="Montserrat" w:hAnsi="Montserrat" w:cs="Calibri"/>
                <w:b/>
                <w:bCs/>
                <w:color w:val="000000"/>
                <w:sz w:val="22"/>
                <w:szCs w:val="22"/>
              </w:rPr>
            </w:pPr>
            <w:r w:rsidRPr="00462F86">
              <w:rPr>
                <w:b/>
                <w:bCs/>
              </w:rPr>
              <w:t xml:space="preserve"> 167,929,334.05 </w:t>
            </w:r>
          </w:p>
        </w:tc>
      </w:tr>
    </w:tbl>
    <w:p w14:paraId="32B6B501" w14:textId="22126354" w:rsidR="000D3039"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rPr>
        <w:t>Nota</w:t>
      </w:r>
    </w:p>
    <w:p w14:paraId="7FE0C809" w14:textId="4379F574" w:rsidR="004C4BFD"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w:t>
      </w:r>
      <w:r w:rsidR="007B3D52">
        <w:rPr>
          <w:rFonts w:ascii="Montserrat" w:hAnsi="Montserrat"/>
          <w:sz w:val="18"/>
          <w:szCs w:val="18"/>
        </w:rPr>
        <w:t>6</w:t>
      </w:r>
      <w:r w:rsidRPr="00272491">
        <w:rPr>
          <w:rFonts w:ascii="Montserrat" w:hAnsi="Montserrat"/>
          <w:sz w:val="18"/>
          <w:szCs w:val="18"/>
        </w:rPr>
        <w:t xml:space="preserve"> Juicios registrados</w:t>
      </w:r>
      <w:r w:rsidR="00272491" w:rsidRPr="00272491">
        <w:rPr>
          <w:rFonts w:ascii="Montserrat" w:hAnsi="Montserrat"/>
          <w:sz w:val="18"/>
          <w:szCs w:val="18"/>
        </w:rPr>
        <w:t>,</w:t>
      </w:r>
      <w:r w:rsidRPr="00272491">
        <w:rPr>
          <w:rFonts w:ascii="Montserrat" w:hAnsi="Montserrat"/>
          <w:sz w:val="18"/>
          <w:szCs w:val="18"/>
        </w:rPr>
        <w:t xml:space="preserve"> </w:t>
      </w:r>
      <w:r w:rsidR="0046433C">
        <w:rPr>
          <w:rFonts w:ascii="Montserrat" w:hAnsi="Montserrat"/>
          <w:sz w:val="18"/>
          <w:szCs w:val="18"/>
        </w:rPr>
        <w:t>2</w:t>
      </w:r>
      <w:r w:rsidR="007B3D52">
        <w:rPr>
          <w:rFonts w:ascii="Montserrat" w:hAnsi="Montserrat"/>
          <w:sz w:val="18"/>
          <w:szCs w:val="18"/>
        </w:rPr>
        <w:t>7</w:t>
      </w:r>
      <w:r w:rsidRPr="00272491">
        <w:rPr>
          <w:rFonts w:ascii="Montserrat" w:hAnsi="Montserrat"/>
          <w:sz w:val="18"/>
          <w:szCs w:val="18"/>
        </w:rPr>
        <w:t xml:space="preserve"> se presentan con valor indeterminado y </w:t>
      </w:r>
      <w:r w:rsidR="00272491" w:rsidRPr="00272491">
        <w:rPr>
          <w:rFonts w:ascii="Montserrat" w:hAnsi="Montserrat"/>
          <w:sz w:val="18"/>
          <w:szCs w:val="18"/>
        </w:rPr>
        <w:t xml:space="preserve">sólo </w:t>
      </w:r>
      <w:r w:rsidR="007B3D52">
        <w:rPr>
          <w:rFonts w:ascii="Montserrat" w:hAnsi="Montserrat"/>
          <w:sz w:val="18"/>
          <w:szCs w:val="18"/>
        </w:rPr>
        <w:t>9</w:t>
      </w:r>
      <w:r w:rsidR="00272491" w:rsidRPr="00272491">
        <w:rPr>
          <w:rFonts w:ascii="Montserrat" w:hAnsi="Montserrat"/>
          <w:sz w:val="18"/>
          <w:szCs w:val="18"/>
        </w:rPr>
        <w:t xml:space="preserve"> presentan un valor que a la fecha se estima en $</w:t>
      </w:r>
      <w:r w:rsidR="007B3D52">
        <w:rPr>
          <w:rFonts w:ascii="Montserrat" w:hAnsi="Montserrat"/>
          <w:sz w:val="18"/>
          <w:szCs w:val="18"/>
        </w:rPr>
        <w:t>3</w:t>
      </w:r>
      <w:r w:rsidR="00272491" w:rsidRPr="00272491">
        <w:rPr>
          <w:rFonts w:ascii="Montserrat" w:hAnsi="Montserrat"/>
          <w:sz w:val="18"/>
          <w:szCs w:val="18"/>
        </w:rPr>
        <w:t>,</w:t>
      </w:r>
      <w:r w:rsidR="00462F86">
        <w:rPr>
          <w:rFonts w:ascii="Montserrat" w:hAnsi="Montserrat"/>
          <w:sz w:val="18"/>
          <w:szCs w:val="18"/>
        </w:rPr>
        <w:t>317,831.36</w:t>
      </w:r>
      <w:r w:rsidR="00272491" w:rsidRPr="00272491">
        <w:rPr>
          <w:rFonts w:ascii="Montserrat" w:hAnsi="Montserrat"/>
          <w:sz w:val="18"/>
          <w:szCs w:val="18"/>
        </w:rPr>
        <w:t>.</w:t>
      </w:r>
    </w:p>
    <w:p w14:paraId="2E231393" w14:textId="02C95C6D" w:rsidR="00272491" w:rsidRPr="00272491" w:rsidRDefault="00272491"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831"/>
        <w:gridCol w:w="1869"/>
        <w:gridCol w:w="2140"/>
      </w:tblGrid>
      <w:tr w:rsidR="00572C62" w:rsidRPr="00572C62" w14:paraId="66FADC24" w14:textId="77777777" w:rsidTr="0046433C">
        <w:trPr>
          <w:trHeight w:val="900"/>
          <w:tblHeader/>
        </w:trPr>
        <w:tc>
          <w:tcPr>
            <w:tcW w:w="988" w:type="dxa"/>
            <w:shd w:val="clear" w:color="000000" w:fill="BFBFBF"/>
            <w:vAlign w:val="center"/>
            <w:hideMark/>
          </w:tcPr>
          <w:p w14:paraId="3C706852" w14:textId="2C46858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No.</w:t>
            </w:r>
          </w:p>
        </w:tc>
        <w:tc>
          <w:tcPr>
            <w:tcW w:w="3831" w:type="dxa"/>
            <w:shd w:val="clear" w:color="000000" w:fill="BFBFBF"/>
            <w:vAlign w:val="center"/>
            <w:hideMark/>
          </w:tcPr>
          <w:p w14:paraId="3F5EF0F3"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TIPO DE JUICIO</w:t>
            </w:r>
          </w:p>
        </w:tc>
        <w:tc>
          <w:tcPr>
            <w:tcW w:w="1869" w:type="dxa"/>
            <w:shd w:val="clear" w:color="000000" w:fill="BFBFBF"/>
            <w:vAlign w:val="center"/>
            <w:hideMark/>
          </w:tcPr>
          <w:p w14:paraId="384E67FB"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NÚMERO DE EXPEDIENTES EN PROCESO</w:t>
            </w:r>
          </w:p>
        </w:tc>
        <w:tc>
          <w:tcPr>
            <w:tcW w:w="2140" w:type="dxa"/>
            <w:shd w:val="clear" w:color="000000" w:fill="BFBFBF"/>
            <w:vAlign w:val="center"/>
            <w:hideMark/>
          </w:tcPr>
          <w:p w14:paraId="32F7C986" w14:textId="6EFF322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MONTO DETERMINADO</w:t>
            </w:r>
          </w:p>
        </w:tc>
      </w:tr>
      <w:tr w:rsidR="00C334ED" w:rsidRPr="00572C62" w14:paraId="0B498854" w14:textId="77777777" w:rsidTr="00C334ED">
        <w:trPr>
          <w:trHeight w:val="300"/>
        </w:trPr>
        <w:tc>
          <w:tcPr>
            <w:tcW w:w="988" w:type="dxa"/>
            <w:shd w:val="clear" w:color="auto" w:fill="auto"/>
            <w:noWrap/>
            <w:vAlign w:val="center"/>
            <w:hideMark/>
          </w:tcPr>
          <w:p w14:paraId="40DC2F57" w14:textId="1877035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3831" w:type="dxa"/>
            <w:shd w:val="clear" w:color="auto" w:fill="auto"/>
            <w:noWrap/>
            <w:vAlign w:val="center"/>
            <w:hideMark/>
          </w:tcPr>
          <w:p w14:paraId="5A10E369" w14:textId="12B3173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 xml:space="preserve">Consejería </w:t>
            </w:r>
            <w:proofErr w:type="spellStart"/>
            <w:r w:rsidRPr="00C334ED">
              <w:rPr>
                <w:rFonts w:ascii="Montserrat" w:hAnsi="Montserrat"/>
                <w:sz w:val="22"/>
                <w:szCs w:val="22"/>
              </w:rPr>
              <w:t>Juridica</w:t>
            </w:r>
            <w:proofErr w:type="spellEnd"/>
            <w:r w:rsidRPr="00C334ED">
              <w:rPr>
                <w:rFonts w:ascii="Montserrat" w:hAnsi="Montserrat"/>
                <w:sz w:val="22"/>
                <w:szCs w:val="22"/>
              </w:rPr>
              <w:t xml:space="preserve"> y Asistencia Social.</w:t>
            </w:r>
          </w:p>
        </w:tc>
        <w:tc>
          <w:tcPr>
            <w:tcW w:w="1869" w:type="dxa"/>
            <w:shd w:val="clear" w:color="auto" w:fill="auto"/>
            <w:noWrap/>
            <w:vAlign w:val="center"/>
            <w:hideMark/>
          </w:tcPr>
          <w:p w14:paraId="54F125EF" w14:textId="40B01C3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42492627" w14:textId="431844A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230,988.75</w:t>
            </w:r>
          </w:p>
        </w:tc>
      </w:tr>
      <w:tr w:rsidR="00C334ED" w:rsidRPr="00572C62" w14:paraId="321BF17A" w14:textId="77777777" w:rsidTr="00C334ED">
        <w:trPr>
          <w:trHeight w:val="900"/>
        </w:trPr>
        <w:tc>
          <w:tcPr>
            <w:tcW w:w="988" w:type="dxa"/>
            <w:shd w:val="clear" w:color="auto" w:fill="auto"/>
            <w:noWrap/>
            <w:vAlign w:val="center"/>
            <w:hideMark/>
          </w:tcPr>
          <w:p w14:paraId="1EFFB00C" w14:textId="6F0D26B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3831" w:type="dxa"/>
            <w:shd w:val="clear" w:color="auto" w:fill="auto"/>
            <w:noWrap/>
            <w:vAlign w:val="center"/>
            <w:hideMark/>
          </w:tcPr>
          <w:p w14:paraId="5211724F" w14:textId="55CFD451"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Consejo de la Judicatura del Poder Judicial.</w:t>
            </w:r>
          </w:p>
        </w:tc>
        <w:tc>
          <w:tcPr>
            <w:tcW w:w="1869" w:type="dxa"/>
            <w:shd w:val="clear" w:color="auto" w:fill="auto"/>
            <w:noWrap/>
            <w:vAlign w:val="center"/>
            <w:hideMark/>
          </w:tcPr>
          <w:p w14:paraId="025B1226" w14:textId="23C686C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AD40049" w14:textId="7C91134E"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002D6368" w14:textId="77777777" w:rsidTr="00C334ED">
        <w:trPr>
          <w:trHeight w:val="900"/>
        </w:trPr>
        <w:tc>
          <w:tcPr>
            <w:tcW w:w="988" w:type="dxa"/>
            <w:shd w:val="clear" w:color="auto" w:fill="auto"/>
            <w:noWrap/>
            <w:vAlign w:val="center"/>
            <w:hideMark/>
          </w:tcPr>
          <w:p w14:paraId="750B9096" w14:textId="787B2B4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3831" w:type="dxa"/>
            <w:shd w:val="clear" w:color="auto" w:fill="auto"/>
            <w:noWrap/>
            <w:vAlign w:val="center"/>
            <w:hideMark/>
          </w:tcPr>
          <w:p w14:paraId="57B6BE55" w14:textId="1F3BC35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 xml:space="preserve">Coordinación General de Educación Media Superior y Superior, Ciencia y </w:t>
            </w:r>
            <w:proofErr w:type="spellStart"/>
            <w:r w:rsidRPr="00C334ED">
              <w:rPr>
                <w:rFonts w:ascii="Montserrat" w:hAnsi="Montserrat"/>
                <w:sz w:val="22"/>
                <w:szCs w:val="22"/>
              </w:rPr>
              <w:t>técnología</w:t>
            </w:r>
            <w:proofErr w:type="spellEnd"/>
            <w:r w:rsidRPr="00C334ED">
              <w:rPr>
                <w:rFonts w:ascii="Montserrat" w:hAnsi="Montserrat"/>
                <w:sz w:val="22"/>
                <w:szCs w:val="22"/>
              </w:rPr>
              <w:t>.</w:t>
            </w:r>
          </w:p>
        </w:tc>
        <w:tc>
          <w:tcPr>
            <w:tcW w:w="1869" w:type="dxa"/>
            <w:shd w:val="clear" w:color="auto" w:fill="auto"/>
            <w:noWrap/>
            <w:vAlign w:val="center"/>
            <w:hideMark/>
          </w:tcPr>
          <w:p w14:paraId="18B095D4" w14:textId="1527CBC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49709C6A" w14:textId="649E98B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FF71694" w14:textId="77777777" w:rsidTr="00C334ED">
        <w:trPr>
          <w:trHeight w:val="600"/>
        </w:trPr>
        <w:tc>
          <w:tcPr>
            <w:tcW w:w="988" w:type="dxa"/>
            <w:shd w:val="clear" w:color="auto" w:fill="auto"/>
            <w:noWrap/>
            <w:vAlign w:val="center"/>
            <w:hideMark/>
          </w:tcPr>
          <w:p w14:paraId="684B388A" w14:textId="33FB87D2"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3831" w:type="dxa"/>
            <w:shd w:val="clear" w:color="auto" w:fill="auto"/>
            <w:noWrap/>
            <w:vAlign w:val="center"/>
            <w:hideMark/>
          </w:tcPr>
          <w:p w14:paraId="28C4E2F9" w14:textId="46C81778"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Coordinación General del Comité Estatal de Planeación para el Desarrollo de Oaxaca.</w:t>
            </w:r>
          </w:p>
        </w:tc>
        <w:tc>
          <w:tcPr>
            <w:tcW w:w="1869" w:type="dxa"/>
            <w:shd w:val="clear" w:color="auto" w:fill="auto"/>
            <w:noWrap/>
            <w:vAlign w:val="center"/>
            <w:hideMark/>
          </w:tcPr>
          <w:p w14:paraId="24442E58" w14:textId="7B66222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66B2AF2C" w14:textId="335658D0"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F41EB36" w14:textId="77777777" w:rsidTr="00C334ED">
        <w:trPr>
          <w:trHeight w:val="600"/>
        </w:trPr>
        <w:tc>
          <w:tcPr>
            <w:tcW w:w="988" w:type="dxa"/>
            <w:shd w:val="clear" w:color="auto" w:fill="auto"/>
            <w:noWrap/>
            <w:vAlign w:val="center"/>
            <w:hideMark/>
          </w:tcPr>
          <w:p w14:paraId="752A25AC" w14:textId="683E6A9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5</w:t>
            </w:r>
          </w:p>
        </w:tc>
        <w:tc>
          <w:tcPr>
            <w:tcW w:w="3831" w:type="dxa"/>
            <w:shd w:val="clear" w:color="auto" w:fill="auto"/>
            <w:noWrap/>
            <w:vAlign w:val="center"/>
            <w:hideMark/>
          </w:tcPr>
          <w:p w14:paraId="6CF425B4" w14:textId="1ACF046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Gobierno del Estado de Oaxaca.</w:t>
            </w:r>
          </w:p>
        </w:tc>
        <w:tc>
          <w:tcPr>
            <w:tcW w:w="1869" w:type="dxa"/>
            <w:shd w:val="clear" w:color="auto" w:fill="auto"/>
            <w:noWrap/>
            <w:vAlign w:val="center"/>
            <w:hideMark/>
          </w:tcPr>
          <w:p w14:paraId="6D574BB8" w14:textId="2BC4C81B"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2140" w:type="dxa"/>
            <w:shd w:val="clear" w:color="auto" w:fill="auto"/>
            <w:noWrap/>
            <w:vAlign w:val="center"/>
            <w:hideMark/>
          </w:tcPr>
          <w:p w14:paraId="4900D03F" w14:textId="12489DA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108,200.58 </w:t>
            </w:r>
          </w:p>
        </w:tc>
      </w:tr>
      <w:tr w:rsidR="00C334ED" w:rsidRPr="00572C62" w14:paraId="66418A9D" w14:textId="77777777" w:rsidTr="00C334ED">
        <w:trPr>
          <w:trHeight w:val="300"/>
        </w:trPr>
        <w:tc>
          <w:tcPr>
            <w:tcW w:w="988" w:type="dxa"/>
            <w:shd w:val="clear" w:color="auto" w:fill="auto"/>
            <w:noWrap/>
            <w:vAlign w:val="center"/>
            <w:hideMark/>
          </w:tcPr>
          <w:p w14:paraId="5EE946CA" w14:textId="313BE2D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3831" w:type="dxa"/>
            <w:shd w:val="clear" w:color="auto" w:fill="auto"/>
            <w:noWrap/>
            <w:vAlign w:val="center"/>
            <w:hideMark/>
          </w:tcPr>
          <w:p w14:paraId="364D9ADC" w14:textId="31157FE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Administración.</w:t>
            </w:r>
          </w:p>
        </w:tc>
        <w:tc>
          <w:tcPr>
            <w:tcW w:w="1869" w:type="dxa"/>
            <w:shd w:val="clear" w:color="auto" w:fill="auto"/>
            <w:noWrap/>
            <w:vAlign w:val="center"/>
            <w:hideMark/>
          </w:tcPr>
          <w:p w14:paraId="5A3ABDD7" w14:textId="5F3DBE3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21</w:t>
            </w:r>
          </w:p>
        </w:tc>
        <w:tc>
          <w:tcPr>
            <w:tcW w:w="2140" w:type="dxa"/>
            <w:shd w:val="clear" w:color="auto" w:fill="auto"/>
            <w:noWrap/>
            <w:vAlign w:val="center"/>
            <w:hideMark/>
          </w:tcPr>
          <w:p w14:paraId="1A91CBBB" w14:textId="06D43A1B"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27,339.64 </w:t>
            </w:r>
          </w:p>
        </w:tc>
      </w:tr>
      <w:tr w:rsidR="00C334ED" w:rsidRPr="00572C62" w14:paraId="55D50C7A" w14:textId="77777777" w:rsidTr="00C334ED">
        <w:trPr>
          <w:trHeight w:val="300"/>
        </w:trPr>
        <w:tc>
          <w:tcPr>
            <w:tcW w:w="988" w:type="dxa"/>
            <w:shd w:val="clear" w:color="auto" w:fill="auto"/>
            <w:noWrap/>
            <w:vAlign w:val="center"/>
            <w:hideMark/>
          </w:tcPr>
          <w:p w14:paraId="7B6FA663" w14:textId="40C0BEE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7</w:t>
            </w:r>
          </w:p>
        </w:tc>
        <w:tc>
          <w:tcPr>
            <w:tcW w:w="3831" w:type="dxa"/>
            <w:shd w:val="clear" w:color="auto" w:fill="auto"/>
            <w:noWrap/>
            <w:vAlign w:val="center"/>
            <w:hideMark/>
          </w:tcPr>
          <w:p w14:paraId="054F1FC0" w14:textId="6435EEA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Agricultura, Ganadería, Desarrollo Rural, Pesca y Alimentación.</w:t>
            </w:r>
          </w:p>
        </w:tc>
        <w:tc>
          <w:tcPr>
            <w:tcW w:w="1869" w:type="dxa"/>
            <w:shd w:val="clear" w:color="auto" w:fill="auto"/>
            <w:noWrap/>
            <w:vAlign w:val="center"/>
            <w:hideMark/>
          </w:tcPr>
          <w:p w14:paraId="4781BEEC" w14:textId="3399078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57864A16" w14:textId="16C5C0A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5DED565" w14:textId="77777777" w:rsidTr="00C334ED">
        <w:trPr>
          <w:trHeight w:val="600"/>
        </w:trPr>
        <w:tc>
          <w:tcPr>
            <w:tcW w:w="988" w:type="dxa"/>
            <w:shd w:val="clear" w:color="auto" w:fill="auto"/>
            <w:noWrap/>
            <w:vAlign w:val="center"/>
            <w:hideMark/>
          </w:tcPr>
          <w:p w14:paraId="694C8008" w14:textId="01260C6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lastRenderedPageBreak/>
              <w:t>8</w:t>
            </w:r>
          </w:p>
        </w:tc>
        <w:tc>
          <w:tcPr>
            <w:tcW w:w="3831" w:type="dxa"/>
            <w:shd w:val="clear" w:color="auto" w:fill="auto"/>
            <w:noWrap/>
            <w:vAlign w:val="center"/>
            <w:hideMark/>
          </w:tcPr>
          <w:p w14:paraId="36D89956" w14:textId="708DF7B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Bienestar del Estado de Oaxaca.</w:t>
            </w:r>
          </w:p>
        </w:tc>
        <w:tc>
          <w:tcPr>
            <w:tcW w:w="1869" w:type="dxa"/>
            <w:shd w:val="clear" w:color="auto" w:fill="auto"/>
            <w:noWrap/>
            <w:vAlign w:val="center"/>
            <w:hideMark/>
          </w:tcPr>
          <w:p w14:paraId="2E7F3755" w14:textId="5D02A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17A8F78" w14:textId="3B7C8BE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2F5A3E95" w14:textId="77777777" w:rsidTr="00C334ED">
        <w:trPr>
          <w:trHeight w:val="600"/>
        </w:trPr>
        <w:tc>
          <w:tcPr>
            <w:tcW w:w="988" w:type="dxa"/>
            <w:shd w:val="clear" w:color="auto" w:fill="auto"/>
            <w:noWrap/>
            <w:vAlign w:val="center"/>
            <w:hideMark/>
          </w:tcPr>
          <w:p w14:paraId="40AD659F" w14:textId="12FC73A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3831" w:type="dxa"/>
            <w:shd w:val="clear" w:color="auto" w:fill="auto"/>
            <w:noWrap/>
            <w:vAlign w:val="center"/>
            <w:hideMark/>
          </w:tcPr>
          <w:p w14:paraId="57206E1C" w14:textId="59581C0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Agropecuario, Pesca y Acuacultura.</w:t>
            </w:r>
          </w:p>
        </w:tc>
        <w:tc>
          <w:tcPr>
            <w:tcW w:w="1869" w:type="dxa"/>
            <w:shd w:val="clear" w:color="auto" w:fill="auto"/>
            <w:noWrap/>
            <w:vAlign w:val="center"/>
            <w:hideMark/>
          </w:tcPr>
          <w:p w14:paraId="122D10DA" w14:textId="227A3D4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2140" w:type="dxa"/>
            <w:shd w:val="clear" w:color="auto" w:fill="auto"/>
            <w:noWrap/>
            <w:vAlign w:val="center"/>
            <w:hideMark/>
          </w:tcPr>
          <w:p w14:paraId="65EC2527" w14:textId="3DB8262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1,757.93 </w:t>
            </w:r>
          </w:p>
        </w:tc>
      </w:tr>
      <w:tr w:rsidR="00C334ED" w:rsidRPr="00572C62" w14:paraId="45E0036D" w14:textId="77777777" w:rsidTr="00C334ED">
        <w:trPr>
          <w:trHeight w:val="300"/>
        </w:trPr>
        <w:tc>
          <w:tcPr>
            <w:tcW w:w="988" w:type="dxa"/>
            <w:shd w:val="clear" w:color="auto" w:fill="auto"/>
            <w:noWrap/>
            <w:vAlign w:val="center"/>
            <w:hideMark/>
          </w:tcPr>
          <w:p w14:paraId="341FA5CF" w14:textId="79FBE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10</w:t>
            </w:r>
          </w:p>
        </w:tc>
        <w:tc>
          <w:tcPr>
            <w:tcW w:w="3831" w:type="dxa"/>
            <w:shd w:val="clear" w:color="auto" w:fill="auto"/>
            <w:noWrap/>
            <w:vAlign w:val="center"/>
            <w:hideMark/>
          </w:tcPr>
          <w:p w14:paraId="3D28BB35" w14:textId="74719B16"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Social y Humano.</w:t>
            </w:r>
          </w:p>
        </w:tc>
        <w:tc>
          <w:tcPr>
            <w:tcW w:w="1869" w:type="dxa"/>
            <w:shd w:val="clear" w:color="auto" w:fill="auto"/>
            <w:noWrap/>
            <w:vAlign w:val="center"/>
            <w:hideMark/>
          </w:tcPr>
          <w:p w14:paraId="5EA2C541" w14:textId="4920EA9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2576491F" w14:textId="696F93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371,486.34 </w:t>
            </w:r>
          </w:p>
        </w:tc>
      </w:tr>
      <w:tr w:rsidR="00C334ED" w:rsidRPr="00572C62" w14:paraId="68D67EEA" w14:textId="77777777" w:rsidTr="00C334ED">
        <w:trPr>
          <w:trHeight w:val="300"/>
        </w:trPr>
        <w:tc>
          <w:tcPr>
            <w:tcW w:w="988" w:type="dxa"/>
            <w:shd w:val="clear" w:color="auto" w:fill="auto"/>
            <w:noWrap/>
            <w:vAlign w:val="center"/>
            <w:hideMark/>
          </w:tcPr>
          <w:p w14:paraId="3DF04C48" w14:textId="520EF58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11</w:t>
            </w:r>
          </w:p>
        </w:tc>
        <w:tc>
          <w:tcPr>
            <w:tcW w:w="3831" w:type="dxa"/>
            <w:shd w:val="clear" w:color="auto" w:fill="auto"/>
            <w:noWrap/>
            <w:vAlign w:val="center"/>
            <w:hideMark/>
          </w:tcPr>
          <w:p w14:paraId="46AB3E46" w14:textId="548E139A"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Economía.</w:t>
            </w:r>
          </w:p>
        </w:tc>
        <w:tc>
          <w:tcPr>
            <w:tcW w:w="1869" w:type="dxa"/>
            <w:shd w:val="clear" w:color="auto" w:fill="auto"/>
            <w:noWrap/>
            <w:vAlign w:val="center"/>
            <w:hideMark/>
          </w:tcPr>
          <w:p w14:paraId="3280CE49" w14:textId="405EBBAD"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12768B9B" w14:textId="37DA8094"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4E0B8672" w14:textId="77777777" w:rsidTr="00C334ED">
        <w:trPr>
          <w:trHeight w:val="600"/>
        </w:trPr>
        <w:tc>
          <w:tcPr>
            <w:tcW w:w="988" w:type="dxa"/>
            <w:shd w:val="clear" w:color="auto" w:fill="auto"/>
            <w:noWrap/>
            <w:vAlign w:val="center"/>
            <w:hideMark/>
          </w:tcPr>
          <w:p w14:paraId="07CFCD66" w14:textId="529A7223"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12</w:t>
            </w:r>
          </w:p>
        </w:tc>
        <w:tc>
          <w:tcPr>
            <w:tcW w:w="3831" w:type="dxa"/>
            <w:shd w:val="clear" w:color="auto" w:fill="auto"/>
            <w:noWrap/>
            <w:vAlign w:val="center"/>
            <w:hideMark/>
          </w:tcPr>
          <w:p w14:paraId="4A07753B" w14:textId="12D72F0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Finanzas.</w:t>
            </w:r>
          </w:p>
        </w:tc>
        <w:tc>
          <w:tcPr>
            <w:tcW w:w="1869" w:type="dxa"/>
            <w:shd w:val="clear" w:color="auto" w:fill="auto"/>
            <w:noWrap/>
            <w:vAlign w:val="center"/>
            <w:hideMark/>
          </w:tcPr>
          <w:p w14:paraId="1B293499" w14:textId="552D712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2140" w:type="dxa"/>
            <w:shd w:val="clear" w:color="auto" w:fill="auto"/>
            <w:noWrap/>
            <w:vAlign w:val="center"/>
            <w:hideMark/>
          </w:tcPr>
          <w:p w14:paraId="16D39518" w14:textId="6288CD0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1,004,448.72 </w:t>
            </w:r>
          </w:p>
        </w:tc>
      </w:tr>
      <w:tr w:rsidR="00C334ED" w:rsidRPr="00572C62" w14:paraId="3ABAD7C4" w14:textId="77777777" w:rsidTr="00C334ED">
        <w:trPr>
          <w:trHeight w:val="300"/>
        </w:trPr>
        <w:tc>
          <w:tcPr>
            <w:tcW w:w="988" w:type="dxa"/>
            <w:shd w:val="clear" w:color="auto" w:fill="auto"/>
            <w:noWrap/>
            <w:vAlign w:val="center"/>
            <w:hideMark/>
          </w:tcPr>
          <w:p w14:paraId="2B319D41" w14:textId="2B76D79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13</w:t>
            </w:r>
          </w:p>
        </w:tc>
        <w:tc>
          <w:tcPr>
            <w:tcW w:w="3831" w:type="dxa"/>
            <w:shd w:val="clear" w:color="auto" w:fill="auto"/>
            <w:noWrap/>
            <w:vAlign w:val="center"/>
            <w:hideMark/>
          </w:tcPr>
          <w:p w14:paraId="296A9849" w14:textId="0D6252E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Culturas y Artes de Oaxaca.</w:t>
            </w:r>
          </w:p>
        </w:tc>
        <w:tc>
          <w:tcPr>
            <w:tcW w:w="1869" w:type="dxa"/>
            <w:shd w:val="clear" w:color="auto" w:fill="auto"/>
            <w:noWrap/>
            <w:vAlign w:val="center"/>
            <w:hideMark/>
          </w:tcPr>
          <w:p w14:paraId="796101E8" w14:textId="38B2744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99315DF" w14:textId="352DC661"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641B569" w14:textId="77777777" w:rsidTr="00C334ED">
        <w:trPr>
          <w:trHeight w:val="300"/>
        </w:trPr>
        <w:tc>
          <w:tcPr>
            <w:tcW w:w="988" w:type="dxa"/>
            <w:shd w:val="clear" w:color="auto" w:fill="auto"/>
            <w:noWrap/>
            <w:vAlign w:val="center"/>
            <w:hideMark/>
          </w:tcPr>
          <w:p w14:paraId="2CF4462F" w14:textId="285AF58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14</w:t>
            </w:r>
          </w:p>
        </w:tc>
        <w:tc>
          <w:tcPr>
            <w:tcW w:w="3831" w:type="dxa"/>
            <w:shd w:val="clear" w:color="auto" w:fill="auto"/>
            <w:noWrap/>
            <w:vAlign w:val="center"/>
            <w:hideMark/>
          </w:tcPr>
          <w:p w14:paraId="32353398" w14:textId="54B188E2"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Infraestructuras y el Ordenamiento Territorial Sustentable del Estado de Oaxaca.</w:t>
            </w:r>
          </w:p>
        </w:tc>
        <w:tc>
          <w:tcPr>
            <w:tcW w:w="1869" w:type="dxa"/>
            <w:shd w:val="clear" w:color="auto" w:fill="auto"/>
            <w:noWrap/>
            <w:vAlign w:val="center"/>
            <w:hideMark/>
          </w:tcPr>
          <w:p w14:paraId="3E0922BD" w14:textId="774102A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F86824D" w14:textId="38204C5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71E84921" w14:textId="77777777" w:rsidTr="00C334ED">
        <w:trPr>
          <w:trHeight w:val="300"/>
        </w:trPr>
        <w:tc>
          <w:tcPr>
            <w:tcW w:w="988" w:type="dxa"/>
            <w:shd w:val="clear" w:color="auto" w:fill="auto"/>
            <w:noWrap/>
            <w:vAlign w:val="center"/>
            <w:hideMark/>
          </w:tcPr>
          <w:p w14:paraId="01D97DA7" w14:textId="3A9C1A94"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15</w:t>
            </w:r>
          </w:p>
        </w:tc>
        <w:tc>
          <w:tcPr>
            <w:tcW w:w="3831" w:type="dxa"/>
            <w:shd w:val="clear" w:color="auto" w:fill="auto"/>
            <w:noWrap/>
            <w:vAlign w:val="center"/>
            <w:hideMark/>
          </w:tcPr>
          <w:p w14:paraId="0FB6107D" w14:textId="549B761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Seguridad Pública del Estado de Oaxaca.</w:t>
            </w:r>
          </w:p>
        </w:tc>
        <w:tc>
          <w:tcPr>
            <w:tcW w:w="1869" w:type="dxa"/>
            <w:shd w:val="clear" w:color="auto" w:fill="auto"/>
            <w:noWrap/>
            <w:vAlign w:val="center"/>
            <w:hideMark/>
          </w:tcPr>
          <w:p w14:paraId="56A35451" w14:textId="418004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E68E27" w14:textId="0EA651A5"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254,417.58 </w:t>
            </w:r>
          </w:p>
        </w:tc>
      </w:tr>
      <w:tr w:rsidR="00C334ED" w:rsidRPr="00572C62" w14:paraId="09379C6C" w14:textId="77777777" w:rsidTr="00C334ED">
        <w:trPr>
          <w:trHeight w:val="600"/>
        </w:trPr>
        <w:tc>
          <w:tcPr>
            <w:tcW w:w="988" w:type="dxa"/>
            <w:shd w:val="clear" w:color="auto" w:fill="auto"/>
            <w:noWrap/>
            <w:vAlign w:val="center"/>
            <w:hideMark/>
          </w:tcPr>
          <w:p w14:paraId="774A6475" w14:textId="40E9B9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16</w:t>
            </w:r>
          </w:p>
        </w:tc>
        <w:tc>
          <w:tcPr>
            <w:tcW w:w="3831" w:type="dxa"/>
            <w:shd w:val="clear" w:color="auto" w:fill="auto"/>
            <w:noWrap/>
            <w:vAlign w:val="center"/>
            <w:hideMark/>
          </w:tcPr>
          <w:p w14:paraId="7BFCC4E0" w14:textId="3079D54C"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Vialidad y Transporte del Gobierno del Estado.</w:t>
            </w:r>
          </w:p>
        </w:tc>
        <w:tc>
          <w:tcPr>
            <w:tcW w:w="1869" w:type="dxa"/>
            <w:shd w:val="clear" w:color="auto" w:fill="auto"/>
            <w:noWrap/>
            <w:vAlign w:val="center"/>
            <w:hideMark/>
          </w:tcPr>
          <w:p w14:paraId="2B19C6A1" w14:textId="7476E66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6E5CEB4" w14:textId="7C27BC0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111,110.40 </w:t>
            </w:r>
          </w:p>
        </w:tc>
      </w:tr>
      <w:tr w:rsidR="00C334ED" w:rsidRPr="00572C62" w14:paraId="6AF9237E" w14:textId="77777777" w:rsidTr="00C334ED">
        <w:trPr>
          <w:trHeight w:val="600"/>
        </w:trPr>
        <w:tc>
          <w:tcPr>
            <w:tcW w:w="988" w:type="dxa"/>
            <w:shd w:val="clear" w:color="auto" w:fill="auto"/>
            <w:noWrap/>
            <w:vAlign w:val="center"/>
            <w:hideMark/>
          </w:tcPr>
          <w:p w14:paraId="35788439" w14:textId="19F08A6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3831" w:type="dxa"/>
            <w:shd w:val="clear" w:color="auto" w:fill="auto"/>
            <w:noWrap/>
            <w:vAlign w:val="center"/>
            <w:hideMark/>
          </w:tcPr>
          <w:p w14:paraId="6B753FE4" w14:textId="64C8314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del Trabajo.</w:t>
            </w:r>
          </w:p>
        </w:tc>
        <w:tc>
          <w:tcPr>
            <w:tcW w:w="1869" w:type="dxa"/>
            <w:shd w:val="clear" w:color="auto" w:fill="auto"/>
            <w:noWrap/>
            <w:vAlign w:val="center"/>
            <w:hideMark/>
          </w:tcPr>
          <w:p w14:paraId="0C210F15" w14:textId="79D6B66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B4C58D7" w14:textId="28C2B2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5F7DBB62" w14:textId="77777777" w:rsidTr="00C334ED">
        <w:trPr>
          <w:trHeight w:val="300"/>
        </w:trPr>
        <w:tc>
          <w:tcPr>
            <w:tcW w:w="988" w:type="dxa"/>
            <w:shd w:val="clear" w:color="auto" w:fill="auto"/>
            <w:noWrap/>
            <w:vAlign w:val="center"/>
            <w:hideMark/>
          </w:tcPr>
          <w:p w14:paraId="72D38E7C" w14:textId="0153675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18</w:t>
            </w:r>
          </w:p>
        </w:tc>
        <w:tc>
          <w:tcPr>
            <w:tcW w:w="3831" w:type="dxa"/>
            <w:shd w:val="clear" w:color="auto" w:fill="auto"/>
            <w:noWrap/>
            <w:vAlign w:val="center"/>
            <w:hideMark/>
          </w:tcPr>
          <w:p w14:paraId="390E12AC" w14:textId="4D9C946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General de Gobierno.</w:t>
            </w:r>
          </w:p>
        </w:tc>
        <w:tc>
          <w:tcPr>
            <w:tcW w:w="1869" w:type="dxa"/>
            <w:shd w:val="clear" w:color="auto" w:fill="auto"/>
            <w:noWrap/>
            <w:vAlign w:val="center"/>
            <w:hideMark/>
          </w:tcPr>
          <w:p w14:paraId="6BEF326A" w14:textId="09B2861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6DF5DB" w14:textId="01A7EA7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24,001.94 </w:t>
            </w:r>
          </w:p>
        </w:tc>
      </w:tr>
      <w:tr w:rsidR="00572C62" w:rsidRPr="00572C62" w14:paraId="7BA151EF" w14:textId="77777777" w:rsidTr="0046433C">
        <w:trPr>
          <w:trHeight w:val="615"/>
        </w:trPr>
        <w:tc>
          <w:tcPr>
            <w:tcW w:w="988" w:type="dxa"/>
            <w:shd w:val="clear" w:color="000000" w:fill="BFBFBF"/>
            <w:noWrap/>
            <w:vAlign w:val="center"/>
            <w:hideMark/>
          </w:tcPr>
          <w:p w14:paraId="6E0C5D58"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TOTAL</w:t>
            </w:r>
          </w:p>
        </w:tc>
        <w:tc>
          <w:tcPr>
            <w:tcW w:w="3831" w:type="dxa"/>
            <w:shd w:val="clear" w:color="000000" w:fill="BFBFBF"/>
            <w:noWrap/>
            <w:vAlign w:val="center"/>
            <w:hideMark/>
          </w:tcPr>
          <w:p w14:paraId="6B65D8E0" w14:textId="77777777" w:rsidR="00572C62" w:rsidRPr="00572C62" w:rsidRDefault="00572C62" w:rsidP="0046433C">
            <w:pPr>
              <w:spacing w:before="0" w:beforeAutospacing="0" w:after="0" w:afterAutospacing="0"/>
              <w:jc w:val="left"/>
              <w:rPr>
                <w:rFonts w:ascii="Montserrat" w:hAnsi="Montserrat"/>
                <w:b/>
                <w:bCs/>
                <w:sz w:val="22"/>
                <w:szCs w:val="22"/>
              </w:rPr>
            </w:pPr>
            <w:r w:rsidRPr="00572C62">
              <w:rPr>
                <w:rFonts w:ascii="Montserrat" w:hAnsi="Montserrat"/>
                <w:b/>
                <w:bCs/>
                <w:sz w:val="22"/>
                <w:szCs w:val="22"/>
              </w:rPr>
              <w:t>Secretaría General de Gobierno.</w:t>
            </w:r>
          </w:p>
        </w:tc>
        <w:tc>
          <w:tcPr>
            <w:tcW w:w="1869" w:type="dxa"/>
            <w:shd w:val="clear" w:color="000000" w:fill="BFBFBF"/>
            <w:noWrap/>
            <w:vAlign w:val="center"/>
            <w:hideMark/>
          </w:tcPr>
          <w:p w14:paraId="3D3DF665" w14:textId="1FDF67AB"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8</w:t>
            </w:r>
            <w:r w:rsidR="000457D6">
              <w:rPr>
                <w:rFonts w:ascii="Montserrat" w:hAnsi="Montserrat"/>
                <w:b/>
                <w:bCs/>
                <w:sz w:val="22"/>
                <w:szCs w:val="22"/>
              </w:rPr>
              <w:t>3</w:t>
            </w:r>
          </w:p>
        </w:tc>
        <w:tc>
          <w:tcPr>
            <w:tcW w:w="2140" w:type="dxa"/>
            <w:shd w:val="clear" w:color="000000" w:fill="BFBFBF"/>
            <w:noWrap/>
            <w:vAlign w:val="center"/>
            <w:hideMark/>
          </w:tcPr>
          <w:p w14:paraId="0D2265A0" w14:textId="1E2E3014" w:rsidR="00572C62" w:rsidRPr="00572C62" w:rsidRDefault="00572C62" w:rsidP="0046433C">
            <w:pPr>
              <w:spacing w:before="0" w:beforeAutospacing="0" w:after="0" w:afterAutospacing="0"/>
              <w:jc w:val="right"/>
              <w:rPr>
                <w:rFonts w:ascii="Montserrat" w:hAnsi="Montserrat"/>
                <w:b/>
                <w:bCs/>
                <w:sz w:val="22"/>
                <w:szCs w:val="22"/>
              </w:rPr>
            </w:pPr>
            <w:r w:rsidRPr="00572C62">
              <w:rPr>
                <w:rFonts w:ascii="Montserrat" w:hAnsi="Montserrat"/>
                <w:b/>
                <w:bCs/>
                <w:sz w:val="22"/>
                <w:szCs w:val="22"/>
              </w:rPr>
              <w:t>2,133,751.88</w:t>
            </w:r>
          </w:p>
        </w:tc>
      </w:tr>
    </w:tbl>
    <w:p w14:paraId="0845E269" w14:textId="77777777" w:rsidR="00BA14BC" w:rsidRPr="00B31977" w:rsidRDefault="00BA14BC" w:rsidP="00B31977">
      <w:pPr>
        <w:rPr>
          <w:sz w:val="8"/>
          <w:szCs w:val="2"/>
        </w:rPr>
      </w:pPr>
    </w:p>
    <w:sectPr w:rsidR="00BA14BC" w:rsidRPr="00B31977" w:rsidSect="00144CBC">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94D0" w14:textId="77777777" w:rsidR="00760739" w:rsidRDefault="00760739" w:rsidP="006F4A0D">
      <w:r>
        <w:separator/>
      </w:r>
    </w:p>
  </w:endnote>
  <w:endnote w:type="continuationSeparator" w:id="0">
    <w:p w14:paraId="25250B02" w14:textId="77777777" w:rsidR="00760739" w:rsidRDefault="00760739"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A9A1" w14:textId="6498BBE8" w:rsidR="007C2696" w:rsidRDefault="00E04198" w:rsidP="00E04198">
    <w:pPr>
      <w:pStyle w:val="Piedepgina"/>
      <w:jc w:val="right"/>
    </w:pPr>
    <w:r>
      <w:rPr>
        <w:rFonts w:ascii="Univia Pro Light" w:hAnsi="Univia Pro Light"/>
        <w:noProof/>
        <w:sz w:val="16"/>
        <w:szCs w:val="16"/>
      </w:rPr>
      <w:tab/>
    </w:r>
    <w:r w:rsidR="000457D6">
      <w:rPr>
        <w:rFonts w:ascii="Univia Pro Light" w:hAnsi="Univia Pro Light"/>
        <w:noProof/>
        <w:sz w:val="16"/>
        <w:szCs w:val="16"/>
      </w:rPr>
      <w:t>4t</w:t>
    </w:r>
    <w:r w:rsidR="00B31977">
      <w:rPr>
        <w:rFonts w:ascii="Univia Pro Light" w:hAnsi="Univia Pro Light"/>
        <w:noProof/>
        <w:sz w:val="16"/>
        <w:szCs w:val="16"/>
      </w:rPr>
      <w:t>o</w:t>
    </w:r>
    <w:r w:rsidR="00272491">
      <w:rPr>
        <w:rFonts w:ascii="Univia Pro Light" w:hAnsi="Univia Pro Light"/>
        <w:noProof/>
        <w:sz w:val="16"/>
        <w:szCs w:val="16"/>
      </w:rPr>
      <w:t>.</w:t>
    </w:r>
    <w:r w:rsidRPr="00E04198">
      <w:rPr>
        <w:rFonts w:ascii="Univia Pro Light" w:hAnsi="Univia Pro Light"/>
        <w:noProof/>
        <w:sz w:val="16"/>
        <w:szCs w:val="16"/>
      </w:rPr>
      <w:t xml:space="preserve"> Informe Trimestral de Avance de Gestión 202</w:t>
    </w:r>
    <w:r w:rsidR="00572C62">
      <w:rPr>
        <w:rFonts w:ascii="Univia Pro Light" w:hAnsi="Univia Pro Light"/>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C0C5C" w14:textId="77777777" w:rsidR="00760739" w:rsidRDefault="00760739" w:rsidP="006F4A0D">
      <w:r>
        <w:separator/>
      </w:r>
    </w:p>
  </w:footnote>
  <w:footnote w:type="continuationSeparator" w:id="0">
    <w:p w14:paraId="2562A77A" w14:textId="77777777" w:rsidR="00760739" w:rsidRDefault="00760739"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517A"/>
    <w:rsid w:val="000457D6"/>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4CBC"/>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040"/>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04D9E"/>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24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33DBE"/>
    <w:rsid w:val="00333FA4"/>
    <w:rsid w:val="00334991"/>
    <w:rsid w:val="00335C77"/>
    <w:rsid w:val="00347165"/>
    <w:rsid w:val="0035421D"/>
    <w:rsid w:val="0035672A"/>
    <w:rsid w:val="00357A7B"/>
    <w:rsid w:val="0036029F"/>
    <w:rsid w:val="00362154"/>
    <w:rsid w:val="00367E9A"/>
    <w:rsid w:val="00370A96"/>
    <w:rsid w:val="00371139"/>
    <w:rsid w:val="00374F44"/>
    <w:rsid w:val="003821AB"/>
    <w:rsid w:val="003839CD"/>
    <w:rsid w:val="00385954"/>
    <w:rsid w:val="0039125A"/>
    <w:rsid w:val="00397660"/>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93C"/>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2F86"/>
    <w:rsid w:val="00463DCA"/>
    <w:rsid w:val="0046433C"/>
    <w:rsid w:val="004643D7"/>
    <w:rsid w:val="00466F48"/>
    <w:rsid w:val="00467217"/>
    <w:rsid w:val="00471BB2"/>
    <w:rsid w:val="00472E2C"/>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2C62"/>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3F1"/>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6E63"/>
    <w:rsid w:val="007075B6"/>
    <w:rsid w:val="007105D3"/>
    <w:rsid w:val="0071428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0739"/>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3D52"/>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0272"/>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0272"/>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1572"/>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326A"/>
    <w:rsid w:val="00A273AA"/>
    <w:rsid w:val="00A31DB0"/>
    <w:rsid w:val="00A41A8E"/>
    <w:rsid w:val="00A42210"/>
    <w:rsid w:val="00A43148"/>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427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1977"/>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75F99"/>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34ED"/>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048E"/>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1FF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537"/>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CD4"/>
    <w:rsid w:val="00FD687A"/>
    <w:rsid w:val="00FE1D9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4</cp:revision>
  <cp:lastPrinted>2021-03-26T16:51:00Z</cp:lastPrinted>
  <dcterms:created xsi:type="dcterms:W3CDTF">2025-01-20T19:48:00Z</dcterms:created>
  <dcterms:modified xsi:type="dcterms:W3CDTF">2025-01-26T02:12:00Z</dcterms:modified>
</cp:coreProperties>
</file>